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1014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53"/>
              <w:gridCol w:w="6886"/>
              <w:gridCol w:w="2149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8750F3" w:rsidRPr="008115AB" w:rsidRDefault="003F5C42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3F5C42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21</w:t>
                  </w:r>
                  <w:r w:rsidR="008F089E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443DC9">
                    <w:rPr>
                      <w:i/>
                      <w:iCs/>
                      <w:sz w:val="24"/>
                      <w:szCs w:val="24"/>
                    </w:rPr>
                    <w:t>января</w:t>
                  </w:r>
                </w:p>
                <w:p w:rsidR="008750F3" w:rsidRDefault="00021FB8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2025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3F5C42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5F6F41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3F5C42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090FA2">
            <w:pPr>
              <w:ind w:left="328" w:right="356"/>
              <w:jc w:val="both"/>
              <w:rPr>
                <w:b/>
                <w:sz w:val="24"/>
                <w:szCs w:val="24"/>
              </w:rPr>
            </w:pPr>
          </w:p>
          <w:p w:rsidR="003F5C42" w:rsidRDefault="003F5C42" w:rsidP="003F5C42">
            <w:pPr>
              <w:pStyle w:val="3"/>
              <w:keepNext w:val="0"/>
              <w:keepLines w:val="0"/>
              <w:spacing w:before="0"/>
              <w:ind w:left="1069"/>
              <w:jc w:val="both"/>
              <w:rPr>
                <w:color w:val="auto"/>
              </w:rPr>
            </w:pPr>
            <w:r w:rsidRPr="003F5C42">
              <w:rPr>
                <w:b w:val="0"/>
                <w:color w:val="auto"/>
              </w:rPr>
              <w:t>«</w:t>
            </w:r>
            <w:r w:rsidRPr="003F5C42">
              <w:rPr>
                <w:color w:val="auto"/>
                <w:u w:val="single"/>
              </w:rPr>
              <w:t>Какая ответственность установлена за оставление места дорожно-транспортного происшествия</w:t>
            </w:r>
            <w:r w:rsidRPr="003F5C42">
              <w:rPr>
                <w:color w:val="auto"/>
              </w:rPr>
              <w:t>?»</w:t>
            </w:r>
          </w:p>
          <w:p w:rsidR="00F734DD" w:rsidRPr="006C79B3" w:rsidRDefault="00F734DD" w:rsidP="00F734DD">
            <w:pPr>
              <w:ind w:left="612" w:right="460" w:hanging="142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6C79B3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021FB8" w:rsidRDefault="003F5C42" w:rsidP="007758C9">
            <w:pPr>
              <w:shd w:val="clear" w:color="auto" w:fill="FCFCFC"/>
              <w:spacing w:after="90"/>
              <w:outlineLvl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D233AF">
              <w:rPr>
                <w:b/>
                <w:u w:val="single"/>
              </w:rPr>
              <w:t>Какая ответственность установлена за уклонение от военной службы?</w:t>
            </w:r>
          </w:p>
          <w:p w:rsidR="003F5C42" w:rsidRPr="007758C9" w:rsidRDefault="003F5C42" w:rsidP="007758C9">
            <w:pPr>
              <w:shd w:val="clear" w:color="auto" w:fill="FCFCFC"/>
              <w:spacing w:after="90"/>
              <w:outlineLvl w:val="1"/>
              <w:rPr>
                <w:bCs/>
              </w:rPr>
            </w:pPr>
          </w:p>
          <w:p w:rsidR="003F5C42" w:rsidRPr="005F35AC" w:rsidRDefault="003F5C42" w:rsidP="003F5C42">
            <w:pPr>
              <w:pStyle w:val="a8"/>
              <w:spacing w:before="0" w:beforeAutospacing="0" w:after="0" w:afterAutospacing="0"/>
              <w:ind w:left="709"/>
              <w:jc w:val="both"/>
              <w:rPr>
                <w:b/>
                <w:sz w:val="28"/>
                <w:szCs w:val="28"/>
                <w:u w:val="single"/>
              </w:rPr>
            </w:pPr>
            <w:r w:rsidRPr="005F35AC">
              <w:rPr>
                <w:b/>
                <w:sz w:val="28"/>
                <w:szCs w:val="28"/>
                <w:u w:val="single"/>
              </w:rPr>
              <w:t>Уголовная ответственность за хищение денежных с</w:t>
            </w:r>
            <w:r>
              <w:rPr>
                <w:b/>
                <w:sz w:val="28"/>
                <w:szCs w:val="28"/>
                <w:u w:val="single"/>
              </w:rPr>
              <w:t>ре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дств с ч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ужой банковской карты</w:t>
            </w:r>
          </w:p>
          <w:p w:rsidR="006924E3" w:rsidRDefault="006924E3" w:rsidP="006924E3">
            <w:pPr>
              <w:pStyle w:val="a6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24"/>
                <w:szCs w:val="24"/>
              </w:rPr>
            </w:pPr>
          </w:p>
          <w:p w:rsidR="00F734DD" w:rsidRPr="00F734DD" w:rsidRDefault="00F734DD" w:rsidP="00F734DD">
            <w:pPr>
              <w:pStyle w:val="a6"/>
              <w:spacing w:after="100" w:afterAutospacing="1" w:line="276" w:lineRule="auto"/>
              <w:ind w:left="754" w:right="459"/>
              <w:jc w:val="both"/>
              <w:rPr>
                <w:b/>
                <w:bCs/>
                <w:sz w:val="24"/>
                <w:szCs w:val="24"/>
              </w:rPr>
            </w:pPr>
          </w:p>
          <w:p w:rsidR="00A51B4D" w:rsidRPr="006924E3" w:rsidRDefault="00A51B4D" w:rsidP="006924E3">
            <w:pPr>
              <w:pStyle w:val="a6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НАШ АДРЕС: 632726. Новосибирская область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село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Елизаветинка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ул.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Центральная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Редактор: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Шрайбер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2783E" w:rsidRDefault="0032783E" w:rsidP="0032783E">
      <w:pPr>
        <w:pStyle w:val="ConsPlusNormal"/>
        <w:jc w:val="both"/>
      </w:pPr>
    </w:p>
    <w:p w:rsidR="001F7E2E" w:rsidRDefault="001F7E2E" w:rsidP="001671A3">
      <w:pPr>
        <w:pStyle w:val="ConsPlusNormal"/>
        <w:jc w:val="both"/>
      </w:pPr>
    </w:p>
    <w:p w:rsidR="003F5C42" w:rsidRPr="003F5C42" w:rsidRDefault="003F5C42" w:rsidP="003F5C42">
      <w:pPr>
        <w:pStyle w:val="3"/>
        <w:spacing w:before="0"/>
        <w:ind w:firstLine="709"/>
        <w:jc w:val="both"/>
        <w:rPr>
          <w:b w:val="0"/>
          <w:color w:val="auto"/>
        </w:rPr>
      </w:pPr>
      <w:r w:rsidRPr="003F5C42">
        <w:rPr>
          <w:b w:val="0"/>
          <w:color w:val="auto"/>
        </w:rPr>
        <w:lastRenderedPageBreak/>
        <w:t xml:space="preserve">Прокуратура Чистоозерного района Новосибирской области информирует: </w:t>
      </w:r>
    </w:p>
    <w:p w:rsidR="003F5C42" w:rsidRPr="003F5C42" w:rsidRDefault="003F5C42" w:rsidP="003F5C42">
      <w:pPr>
        <w:pStyle w:val="3"/>
        <w:spacing w:before="0"/>
        <w:ind w:firstLine="709"/>
        <w:jc w:val="both"/>
        <w:rPr>
          <w:b w:val="0"/>
          <w:color w:val="auto"/>
        </w:rPr>
      </w:pPr>
    </w:p>
    <w:p w:rsidR="003F5C42" w:rsidRPr="003F5C42" w:rsidRDefault="003F5C42" w:rsidP="003F5C42">
      <w:pPr>
        <w:pStyle w:val="3"/>
        <w:keepNext w:val="0"/>
        <w:keepLines w:val="0"/>
        <w:numPr>
          <w:ilvl w:val="0"/>
          <w:numId w:val="28"/>
        </w:numPr>
        <w:spacing w:before="0"/>
        <w:jc w:val="both"/>
        <w:rPr>
          <w:color w:val="auto"/>
        </w:rPr>
      </w:pPr>
      <w:r w:rsidRPr="003F5C42">
        <w:rPr>
          <w:b w:val="0"/>
          <w:color w:val="auto"/>
        </w:rPr>
        <w:t>«</w:t>
      </w:r>
      <w:r w:rsidRPr="003F5C42">
        <w:rPr>
          <w:color w:val="auto"/>
          <w:u w:val="single"/>
        </w:rPr>
        <w:t>Какая ответственность установлена за оставление места дорожно-транспортного происшествия</w:t>
      </w:r>
      <w:r w:rsidRPr="003F5C42">
        <w:rPr>
          <w:color w:val="auto"/>
        </w:rPr>
        <w:t>?»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В случае дорожно-транспортного происшествия (далее – ДТП) на водителя транспортного средства, причастного к нему, возлагается ряд обязанностей, к числу которых относится запрет на покидание места ДТП, даже в случаях, когда водитель не является виновником ДТП. Считается, что водитель оставил место ДТП, участником которого являлся, если он: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- оставил место ДТП до того, как сотрудники полиции оформили ДТП;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- оставил место ДТП до заполнения бланка извещения о ДТП (</w:t>
      </w:r>
      <w:proofErr w:type="spellStart"/>
      <w:r w:rsidRPr="00D233AF">
        <w:rPr>
          <w:sz w:val="28"/>
          <w:szCs w:val="28"/>
        </w:rPr>
        <w:t>европротокола</w:t>
      </w:r>
      <w:proofErr w:type="spellEnd"/>
      <w:r w:rsidRPr="00D233AF">
        <w:rPr>
          <w:sz w:val="28"/>
          <w:szCs w:val="28"/>
        </w:rPr>
        <w:t>);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- не вернулся к месту ДТП после того, как доставил пострадавшего на своем автомобиле в лечебное учреждение, - в экстренном случае при невозможности отправить пострадавшего на попутном автомобиле.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При этом водитель, причастный к ДТП, вправе оставить место ДТП, если документы о ДТП можно оформить без участия сотрудников полиции. Также он вправе сделать это, если при необходимости оформления документов сотрудниками полиции и при условии соблюдения предусмотренных Правилами дорожного движения (далее – ПДД, утв. Постановлением Правительства Российской Федерации от 23.10.1993 № 1090) требований получит от сотрудника полиции указание о месте оформления ДТП (п. 2.6.1 ПДД).</w:t>
      </w:r>
    </w:p>
    <w:p w:rsidR="003F5C42" w:rsidRPr="00D233AF" w:rsidRDefault="003F5C42" w:rsidP="003F5C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233AF">
        <w:rPr>
          <w:sz w:val="28"/>
          <w:szCs w:val="28"/>
        </w:rPr>
        <w:t xml:space="preserve">За оставление водителем в нарушение ПДД места ДТП, участником которого он являлся, </w:t>
      </w:r>
      <w:proofErr w:type="gramStart"/>
      <w:r w:rsidRPr="00D233AF">
        <w:rPr>
          <w:sz w:val="28"/>
          <w:szCs w:val="28"/>
        </w:rPr>
        <w:t>ч</w:t>
      </w:r>
      <w:proofErr w:type="gramEnd"/>
      <w:r w:rsidRPr="00D233AF">
        <w:rPr>
          <w:sz w:val="28"/>
          <w:szCs w:val="28"/>
        </w:rPr>
        <w:t xml:space="preserve">. 2 ст. 12.27 </w:t>
      </w:r>
      <w:proofErr w:type="spellStart"/>
      <w:r w:rsidRPr="00D233AF">
        <w:rPr>
          <w:sz w:val="28"/>
          <w:szCs w:val="28"/>
        </w:rPr>
        <w:t>КоАП</w:t>
      </w:r>
      <w:proofErr w:type="spellEnd"/>
      <w:r w:rsidRPr="00D233AF">
        <w:rPr>
          <w:sz w:val="28"/>
          <w:szCs w:val="28"/>
        </w:rPr>
        <w:t xml:space="preserve"> РФ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суток. </w:t>
      </w:r>
    </w:p>
    <w:p w:rsidR="003F5C42" w:rsidRPr="00D233AF" w:rsidRDefault="003F5C42" w:rsidP="003F5C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​​​​​​​</w:t>
      </w:r>
      <w:r>
        <w:rPr>
          <w:sz w:val="28"/>
          <w:szCs w:val="28"/>
        </w:rPr>
        <w:tab/>
      </w:r>
      <w:r w:rsidRPr="00D233AF">
        <w:rPr>
          <w:sz w:val="28"/>
          <w:szCs w:val="28"/>
        </w:rPr>
        <w:t>За нарушение водителем ПДД или правил эксплуатации автомобиля, если эти нарушения сопряжены с оставлением водителем места ДТП, предусмотрена уголовная ответственность в случае: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D233AF">
        <w:rPr>
          <w:sz w:val="28"/>
          <w:szCs w:val="28"/>
        </w:rPr>
        <w:t>- причинения тяжкого вреда здоровью человека –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 (п. «б» ч. 2</w:t>
      </w:r>
      <w:proofErr w:type="gramEnd"/>
      <w:r w:rsidRPr="00D233AF">
        <w:rPr>
          <w:sz w:val="28"/>
          <w:szCs w:val="28"/>
        </w:rPr>
        <w:t xml:space="preserve"> ст. 264 УК РФ);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 xml:space="preserve">- смерти человека – в виде лишения свободы на срок от 5 до 12 лет с лишением права занимать определенные должности или заниматься определенной деятельностью на срок до 3 лет (п. «б» </w:t>
      </w:r>
      <w:proofErr w:type="gramStart"/>
      <w:r w:rsidRPr="00D233AF">
        <w:rPr>
          <w:sz w:val="28"/>
          <w:szCs w:val="28"/>
        </w:rPr>
        <w:t>ч</w:t>
      </w:r>
      <w:proofErr w:type="gramEnd"/>
      <w:r w:rsidRPr="00D233AF">
        <w:rPr>
          <w:sz w:val="28"/>
          <w:szCs w:val="28"/>
        </w:rPr>
        <w:t>. 4 ст. 264 УК РФ);</w:t>
      </w:r>
    </w:p>
    <w:p w:rsidR="003F5C42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3AF">
        <w:rPr>
          <w:sz w:val="28"/>
          <w:szCs w:val="28"/>
        </w:rPr>
        <w:t xml:space="preserve">- смерти двух и более лиц – в виде лишения свободы на срок от 8 до 15 лет с лишением права занимать определенные должности или заниматься определенной деятельностью на срок до 3 лет (п. «б» </w:t>
      </w:r>
      <w:proofErr w:type="gramStart"/>
      <w:r w:rsidRPr="00D233AF">
        <w:rPr>
          <w:sz w:val="28"/>
          <w:szCs w:val="28"/>
        </w:rPr>
        <w:t>ч</w:t>
      </w:r>
      <w:proofErr w:type="gramEnd"/>
      <w:r w:rsidRPr="00D233AF">
        <w:rPr>
          <w:sz w:val="28"/>
          <w:szCs w:val="28"/>
        </w:rPr>
        <w:t>. 6 ст. 264 УК РФ).</w:t>
      </w:r>
    </w:p>
    <w:p w:rsidR="003F5C42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5C42" w:rsidRDefault="003F5C42" w:rsidP="003F5C4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 w:rsidRPr="00D233AF">
        <w:rPr>
          <w:b/>
          <w:sz w:val="28"/>
          <w:szCs w:val="28"/>
          <w:u w:val="single"/>
        </w:rPr>
        <w:t>Какая ответственность установлена за уклонение от военной службы?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33AF">
        <w:rPr>
          <w:sz w:val="28"/>
          <w:szCs w:val="28"/>
        </w:rPr>
        <w:t xml:space="preserve">В случае уклонения призывника от призыва на военную службу призывная комиссия или военный комиссар муниципального образования (муниципальных </w:t>
      </w:r>
      <w:r w:rsidRPr="00D233AF">
        <w:rPr>
          <w:sz w:val="28"/>
          <w:szCs w:val="28"/>
        </w:rPr>
        <w:lastRenderedPageBreak/>
        <w:t>образований), в котором состоит на учете призывник, направляет соответствующие материалы руководителю следственного органа Следственного комитета Российской Федерации по месту жительства призывника для решения вопроса о привлечении его в соответствии с законодательством РФ к ответственности (п. 12 «Положения о призыве на военную службу граждан</w:t>
      </w:r>
      <w:proofErr w:type="gramEnd"/>
      <w:r w:rsidRPr="00D233AF">
        <w:rPr>
          <w:sz w:val="28"/>
          <w:szCs w:val="28"/>
        </w:rPr>
        <w:t xml:space="preserve"> </w:t>
      </w:r>
      <w:proofErr w:type="gramStart"/>
      <w:r w:rsidRPr="00D233AF">
        <w:rPr>
          <w:sz w:val="28"/>
          <w:szCs w:val="28"/>
        </w:rPr>
        <w:t>Российской Федерации», утв. постановлением Правительства РФ от 11.11.2006 № 663).</w:t>
      </w:r>
      <w:proofErr w:type="gramEnd"/>
    </w:p>
    <w:p w:rsidR="003F5C42" w:rsidRPr="00D233AF" w:rsidRDefault="003F5C42" w:rsidP="003F5C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 w:rsidRPr="00D233AF">
        <w:rPr>
          <w:sz w:val="28"/>
          <w:szCs w:val="28"/>
        </w:rPr>
        <w:t>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200 000 руб. или в размере заработной платы или иного дохода осужденного за период до 18 месяцев, либо принудительных работ на срок до двух лет, либо ареста на срок до шести месяцев, либо лишения свободы</w:t>
      </w:r>
      <w:proofErr w:type="gramEnd"/>
      <w:r w:rsidRPr="00D233AF">
        <w:rPr>
          <w:sz w:val="28"/>
          <w:szCs w:val="28"/>
        </w:rPr>
        <w:t xml:space="preserve"> на срок до двух лет (</w:t>
      </w:r>
      <w:proofErr w:type="gramStart"/>
      <w:r w:rsidRPr="00D233AF">
        <w:rPr>
          <w:sz w:val="28"/>
          <w:szCs w:val="28"/>
        </w:rPr>
        <w:t>ч</w:t>
      </w:r>
      <w:proofErr w:type="gramEnd"/>
      <w:r w:rsidRPr="00D233AF">
        <w:rPr>
          <w:sz w:val="28"/>
          <w:szCs w:val="28"/>
        </w:rPr>
        <w:t>. 1 ст. 328 УК РФ).</w:t>
      </w:r>
    </w:p>
    <w:p w:rsidR="003F5C42" w:rsidRPr="00D233AF" w:rsidRDefault="003F5C42" w:rsidP="003F5C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 w:rsidRPr="00D233AF">
        <w:rPr>
          <w:sz w:val="28"/>
          <w:szCs w:val="28"/>
        </w:rPr>
        <w:t>Данная ответственность наступает вне зависимости от способа совершения преступления, а также от того, уклонялся ли призывник только от очередного призыва на военную службу или имел цель совсем избежать несения военной службы по призыву (п. 4 постановления Пленума Верховного Суда РФ от 03.04.2008 № 3 «О практике рассмотрения судами уголовных дел об уклонении от призыва на военную службу и от прохождения альтернативной</w:t>
      </w:r>
      <w:proofErr w:type="gramEnd"/>
      <w:r w:rsidRPr="00D233AF">
        <w:rPr>
          <w:sz w:val="28"/>
          <w:szCs w:val="28"/>
        </w:rPr>
        <w:t xml:space="preserve"> гражданской службы»).</w:t>
      </w:r>
    </w:p>
    <w:p w:rsidR="003F5C42" w:rsidRPr="00D233AF" w:rsidRDefault="003F5C42" w:rsidP="003F5C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233AF">
        <w:rPr>
          <w:sz w:val="28"/>
          <w:szCs w:val="28"/>
        </w:rPr>
        <w:t>​​​​​​​</w:t>
      </w:r>
      <w:r>
        <w:rPr>
          <w:sz w:val="28"/>
          <w:szCs w:val="28"/>
        </w:rPr>
        <w:tab/>
      </w:r>
      <w:r w:rsidRPr="00D233AF">
        <w:rPr>
          <w:sz w:val="28"/>
          <w:szCs w:val="28"/>
        </w:rPr>
        <w:t>Кроме того согласно ч. 4 ст. 71 Федерального закона от 28.03.1998 № 53-ФЗ «О воинской обязанности и военной службе» в случае неявки без уважительной причины гражданина, состоящего на воинском учете или не состоящего, но обязанного состоять на воинском учете, по врученной повестке по истечении 20 календарных дней со дня, указанного в повестке, к данному гражданину применяются временные меры, направленные на обеспечение</w:t>
      </w:r>
      <w:proofErr w:type="gramEnd"/>
      <w:r w:rsidRPr="00D233AF">
        <w:rPr>
          <w:sz w:val="28"/>
          <w:szCs w:val="28"/>
        </w:rPr>
        <w:t xml:space="preserve"> явки в военный комиссариат, а именно:</w:t>
      </w:r>
    </w:p>
    <w:p w:rsidR="003F5C42" w:rsidRPr="00D233AF" w:rsidRDefault="003F5C42" w:rsidP="003F5C4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запрет на государственную регистрацию физических лиц в качестве индивидуальных предпринимателей;</w:t>
      </w:r>
    </w:p>
    <w:p w:rsidR="003F5C42" w:rsidRPr="00D233AF" w:rsidRDefault="003F5C42" w:rsidP="003F5C4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 xml:space="preserve">запрет на постановку на учет в налоговом органе физического лица в качестве </w:t>
      </w:r>
      <w:proofErr w:type="spellStart"/>
      <w:r w:rsidRPr="00D233AF">
        <w:rPr>
          <w:sz w:val="28"/>
          <w:szCs w:val="28"/>
        </w:rPr>
        <w:t>самозанятого</w:t>
      </w:r>
      <w:proofErr w:type="spellEnd"/>
      <w:r w:rsidRPr="00D233AF">
        <w:rPr>
          <w:sz w:val="28"/>
          <w:szCs w:val="28"/>
        </w:rPr>
        <w:t xml:space="preserve"> (налогоплательщика, применяющего специальный налоговый режим «Налог на профессиональный доход»);</w:t>
      </w:r>
    </w:p>
    <w:p w:rsidR="003F5C42" w:rsidRPr="00D233AF" w:rsidRDefault="003F5C42" w:rsidP="003F5C4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приостановление внесения сведений о недвижимом имуществе призывника в государственный кадастровый учет и (или) государственной регистрации прав, осуществляемые в соответствии с Федеральным законом от 13.07.2015 года № 218-ФЗ «О государственной регистрации недвижимости»;</w:t>
      </w:r>
    </w:p>
    <w:p w:rsidR="003F5C42" w:rsidRPr="00D233AF" w:rsidRDefault="003F5C42" w:rsidP="003F5C4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 xml:space="preserve">невозможность получить водительские права, а </w:t>
      </w:r>
      <w:proofErr w:type="gramStart"/>
      <w:r w:rsidRPr="00D233AF">
        <w:rPr>
          <w:sz w:val="28"/>
          <w:szCs w:val="28"/>
        </w:rPr>
        <w:t>случае</w:t>
      </w:r>
      <w:proofErr w:type="gramEnd"/>
      <w:r w:rsidRPr="00D233AF">
        <w:rPr>
          <w:sz w:val="28"/>
          <w:szCs w:val="28"/>
        </w:rPr>
        <w:t xml:space="preserve"> их наличия невозможность осуществлять управление автомобилем;</w:t>
      </w:r>
    </w:p>
    <w:p w:rsidR="003F5C42" w:rsidRPr="00D233AF" w:rsidRDefault="003F5C42" w:rsidP="003F5C4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запрет на государственную регистрацию транспортных средств, осуществляемую в порядке, установленном Федеральным законом от 03.08.2018 года № 283-ФЗ «О государственной регистрации транспортных сре</w:t>
      </w:r>
      <w:proofErr w:type="gramStart"/>
      <w:r w:rsidRPr="00D233AF">
        <w:rPr>
          <w:sz w:val="28"/>
          <w:szCs w:val="28"/>
        </w:rPr>
        <w:t>дств в Р</w:t>
      </w:r>
      <w:proofErr w:type="gramEnd"/>
      <w:r w:rsidRPr="00D233AF">
        <w:rPr>
          <w:sz w:val="28"/>
          <w:szCs w:val="28"/>
        </w:rPr>
        <w:t>оссийской Федерации и о внесении изменений в отдельные законодательные акты Российской Федерации»;</w:t>
      </w:r>
    </w:p>
    <w:p w:rsidR="003F5C42" w:rsidRDefault="003F5C42" w:rsidP="003F5C4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33AF">
        <w:rPr>
          <w:sz w:val="28"/>
          <w:szCs w:val="28"/>
        </w:rPr>
        <w:t>отказ в заключени</w:t>
      </w:r>
      <w:proofErr w:type="gramStart"/>
      <w:r w:rsidRPr="00D233AF">
        <w:rPr>
          <w:sz w:val="28"/>
          <w:szCs w:val="28"/>
        </w:rPr>
        <w:t>и</w:t>
      </w:r>
      <w:proofErr w:type="gramEnd"/>
      <w:r w:rsidRPr="00D233AF">
        <w:rPr>
          <w:sz w:val="28"/>
          <w:szCs w:val="28"/>
        </w:rPr>
        <w:t xml:space="preserve"> кредитного договора, договора займа.</w:t>
      </w:r>
    </w:p>
    <w:p w:rsidR="003F5C42" w:rsidRDefault="003F5C42" w:rsidP="003F5C42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F5C42" w:rsidRPr="005F35AC" w:rsidRDefault="003F5C42" w:rsidP="003F5C42">
      <w:pPr>
        <w:pStyle w:val="a8"/>
        <w:numPr>
          <w:ilvl w:val="1"/>
          <w:numId w:val="29"/>
        </w:numPr>
        <w:spacing w:before="0" w:beforeAutospacing="0" w:after="0" w:afterAutospacing="0"/>
        <w:ind w:left="709"/>
        <w:jc w:val="both"/>
        <w:rPr>
          <w:b/>
          <w:sz w:val="28"/>
          <w:szCs w:val="28"/>
          <w:u w:val="single"/>
        </w:rPr>
      </w:pPr>
      <w:r w:rsidRPr="005F35AC">
        <w:rPr>
          <w:b/>
          <w:sz w:val="28"/>
          <w:szCs w:val="28"/>
          <w:u w:val="single"/>
        </w:rPr>
        <w:t>Уголовная ответственность за хищение денежных сре</w:t>
      </w:r>
      <w:proofErr w:type="gramStart"/>
      <w:r w:rsidRPr="005F35AC">
        <w:rPr>
          <w:b/>
          <w:sz w:val="28"/>
          <w:szCs w:val="28"/>
          <w:u w:val="single"/>
        </w:rPr>
        <w:t>дств с ч</w:t>
      </w:r>
      <w:proofErr w:type="gramEnd"/>
      <w:r w:rsidRPr="005F35AC">
        <w:rPr>
          <w:b/>
          <w:sz w:val="28"/>
          <w:szCs w:val="28"/>
          <w:u w:val="single"/>
        </w:rPr>
        <w:t>ужой банковской карты.</w:t>
      </w:r>
    </w:p>
    <w:p w:rsidR="003F5C42" w:rsidRPr="005F35AC" w:rsidRDefault="003F5C42" w:rsidP="003F5C4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35AC">
        <w:rPr>
          <w:sz w:val="28"/>
          <w:szCs w:val="28"/>
        </w:rPr>
        <w:lastRenderedPageBreak/>
        <w:t>На территории Чистоозерного района Новосибирской области  не редки случаи хищения финансовых сре</w:t>
      </w:r>
      <w:proofErr w:type="gramStart"/>
      <w:r w:rsidRPr="005F35AC">
        <w:rPr>
          <w:sz w:val="28"/>
          <w:szCs w:val="28"/>
        </w:rPr>
        <w:t>дств с б</w:t>
      </w:r>
      <w:proofErr w:type="gramEnd"/>
      <w:r w:rsidRPr="005F35AC">
        <w:rPr>
          <w:sz w:val="28"/>
          <w:szCs w:val="28"/>
        </w:rPr>
        <w:t>анковского счета потерпевшего. </w:t>
      </w:r>
    </w:p>
    <w:p w:rsidR="003F5C42" w:rsidRPr="005F35AC" w:rsidRDefault="003F5C42" w:rsidP="003F5C4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35AC">
        <w:rPr>
          <w:sz w:val="28"/>
          <w:szCs w:val="28"/>
        </w:rPr>
        <w:t xml:space="preserve">Подобные действия являются преступлением, ответственность за которые предусмотрена п. «г» </w:t>
      </w:r>
      <w:proofErr w:type="gramStart"/>
      <w:r w:rsidRPr="005F35AC">
        <w:rPr>
          <w:sz w:val="28"/>
          <w:szCs w:val="28"/>
        </w:rPr>
        <w:t>ч</w:t>
      </w:r>
      <w:proofErr w:type="gramEnd"/>
      <w:r w:rsidRPr="005F35AC">
        <w:rPr>
          <w:sz w:val="28"/>
          <w:szCs w:val="28"/>
        </w:rPr>
        <w:t xml:space="preserve">.3 ст.158 УК РФ. Среди обывателей зачастую бытует мнение, что найденная банковская карта, является находкой, в </w:t>
      </w:r>
      <w:proofErr w:type="gramStart"/>
      <w:r w:rsidRPr="005F35AC">
        <w:rPr>
          <w:sz w:val="28"/>
          <w:szCs w:val="28"/>
        </w:rPr>
        <w:t>связи</w:t>
      </w:r>
      <w:proofErr w:type="gramEnd"/>
      <w:r w:rsidRPr="005F35AC">
        <w:rPr>
          <w:sz w:val="28"/>
          <w:szCs w:val="28"/>
        </w:rPr>
        <w:t xml:space="preserve"> с чем пользоваться деньгами, находящимися на банковском счете, к которому привязана чужая банковская карта, можно свободно и в личных целях. При этом </w:t>
      </w:r>
      <w:proofErr w:type="spellStart"/>
      <w:r w:rsidRPr="005F35AC">
        <w:rPr>
          <w:sz w:val="28"/>
          <w:szCs w:val="28"/>
        </w:rPr>
        <w:t>обналичивание</w:t>
      </w:r>
      <w:proofErr w:type="spellEnd"/>
      <w:r w:rsidRPr="005F35AC">
        <w:rPr>
          <w:sz w:val="28"/>
          <w:szCs w:val="28"/>
        </w:rPr>
        <w:t xml:space="preserve"> финансовых сре</w:t>
      </w:r>
      <w:proofErr w:type="gramStart"/>
      <w:r w:rsidRPr="005F35AC">
        <w:rPr>
          <w:sz w:val="28"/>
          <w:szCs w:val="28"/>
        </w:rPr>
        <w:t>дств с д</w:t>
      </w:r>
      <w:proofErr w:type="gramEnd"/>
      <w:r w:rsidRPr="005F35AC">
        <w:rPr>
          <w:sz w:val="28"/>
          <w:szCs w:val="28"/>
        </w:rPr>
        <w:t xml:space="preserve">анной карты или оплата за покупки, по мнению некоторых граждан, не является противоправным деянием. </w:t>
      </w:r>
    </w:p>
    <w:p w:rsidR="003F5C42" w:rsidRPr="005F35AC" w:rsidRDefault="003F5C42" w:rsidP="003F5C4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35AC">
        <w:rPr>
          <w:sz w:val="28"/>
          <w:szCs w:val="28"/>
        </w:rPr>
        <w:t xml:space="preserve">В этой связи разъясняется, что тайное использование безналичных денежных средств постороннего лица в личных целях является преступлением, а именно кражей. </w:t>
      </w:r>
    </w:p>
    <w:p w:rsidR="003F5C42" w:rsidRPr="005F35AC" w:rsidRDefault="003F5C42" w:rsidP="003F5C4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F35AC">
        <w:rPr>
          <w:sz w:val="28"/>
          <w:szCs w:val="28"/>
        </w:rPr>
        <w:t>В отличие от обычного хищения чужого имущества, кража с банковской карты (счета) является тяжким преступлением независимо от суммы похищенного, за которое предусмотрено наказание в виде штрафа в размере от ста тысяч до пятисот тысяч рублей, или в размере заработной платы или иного дохода осужденного за период от одного года до трех лет, либо принудительных работ на срок до пяти лет</w:t>
      </w:r>
      <w:proofErr w:type="gramEnd"/>
      <w:r w:rsidRPr="005F35AC">
        <w:rPr>
          <w:sz w:val="28"/>
          <w:szCs w:val="28"/>
        </w:rPr>
        <w:t xml:space="preserve"> с ограничением свободы на срок до полутора лет или без такового,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полутора.</w:t>
      </w:r>
    </w:p>
    <w:p w:rsidR="003F5C42" w:rsidRPr="00D233AF" w:rsidRDefault="003F5C42" w:rsidP="003F5C4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3F5C42" w:rsidRPr="001E6B91" w:rsidRDefault="003F5C42" w:rsidP="003F5C42">
      <w:pPr>
        <w:pStyle w:val="af0"/>
        <w:spacing w:line="240" w:lineRule="exact"/>
        <w:ind w:right="23"/>
        <w:jc w:val="both"/>
      </w:pPr>
    </w:p>
    <w:p w:rsidR="001518A6" w:rsidRDefault="001518A6" w:rsidP="003F5C42">
      <w:pPr>
        <w:jc w:val="center"/>
      </w:pPr>
    </w:p>
    <w:sectPr w:rsidR="001518A6" w:rsidSect="003F5C42">
      <w:pgSz w:w="11907" w:h="16840"/>
      <w:pgMar w:top="284" w:right="567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8C16DA"/>
    <w:multiLevelType w:val="hybridMultilevel"/>
    <w:tmpl w:val="2CE6D70E"/>
    <w:lvl w:ilvl="0" w:tplc="AFB43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08211857"/>
    <w:multiLevelType w:val="hybridMultilevel"/>
    <w:tmpl w:val="61DCB1B8"/>
    <w:lvl w:ilvl="0" w:tplc="818C5E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971C08"/>
    <w:multiLevelType w:val="multilevel"/>
    <w:tmpl w:val="884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F956C40"/>
    <w:multiLevelType w:val="hybridMultilevel"/>
    <w:tmpl w:val="4422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09123B1"/>
    <w:multiLevelType w:val="hybridMultilevel"/>
    <w:tmpl w:val="21FE7C52"/>
    <w:lvl w:ilvl="0" w:tplc="C87CDF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555E3B9F"/>
    <w:multiLevelType w:val="hybridMultilevel"/>
    <w:tmpl w:val="55704306"/>
    <w:lvl w:ilvl="0" w:tplc="43ACAD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851B4"/>
    <w:multiLevelType w:val="hybridMultilevel"/>
    <w:tmpl w:val="E370D1C2"/>
    <w:lvl w:ilvl="0" w:tplc="A2C4C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007CC6"/>
    <w:multiLevelType w:val="hybridMultilevel"/>
    <w:tmpl w:val="20248E72"/>
    <w:lvl w:ilvl="0" w:tplc="F342D4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20"/>
  </w:num>
  <w:num w:numId="8">
    <w:abstractNumId w:val="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11"/>
  </w:num>
  <w:num w:numId="13">
    <w:abstractNumId w:val="18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14"/>
  </w:num>
  <w:num w:numId="19">
    <w:abstractNumId w:val="19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8"/>
  </w:num>
  <w:num w:numId="26">
    <w:abstractNumId w:val="7"/>
  </w:num>
  <w:num w:numId="27">
    <w:abstractNumId w:val="5"/>
  </w:num>
  <w:num w:numId="28">
    <w:abstractNumId w:val="1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21FB8"/>
    <w:rsid w:val="00024DEE"/>
    <w:rsid w:val="00025974"/>
    <w:rsid w:val="00034F68"/>
    <w:rsid w:val="00037A6B"/>
    <w:rsid w:val="00043A2D"/>
    <w:rsid w:val="00071C0F"/>
    <w:rsid w:val="00085348"/>
    <w:rsid w:val="00090FA2"/>
    <w:rsid w:val="000B6AF9"/>
    <w:rsid w:val="000D2B2C"/>
    <w:rsid w:val="001316DF"/>
    <w:rsid w:val="001518A6"/>
    <w:rsid w:val="00157951"/>
    <w:rsid w:val="001671A3"/>
    <w:rsid w:val="00172527"/>
    <w:rsid w:val="00190E81"/>
    <w:rsid w:val="001C0252"/>
    <w:rsid w:val="001C4FE5"/>
    <w:rsid w:val="001F7E2E"/>
    <w:rsid w:val="002020F7"/>
    <w:rsid w:val="00206499"/>
    <w:rsid w:val="00287C78"/>
    <w:rsid w:val="00295657"/>
    <w:rsid w:val="002A12B7"/>
    <w:rsid w:val="002D4735"/>
    <w:rsid w:val="002F5C22"/>
    <w:rsid w:val="00300814"/>
    <w:rsid w:val="00301E4C"/>
    <w:rsid w:val="003079FB"/>
    <w:rsid w:val="00311352"/>
    <w:rsid w:val="00316038"/>
    <w:rsid w:val="0032185F"/>
    <w:rsid w:val="0032783E"/>
    <w:rsid w:val="003558A0"/>
    <w:rsid w:val="00361F2A"/>
    <w:rsid w:val="0038165A"/>
    <w:rsid w:val="0039324D"/>
    <w:rsid w:val="00394063"/>
    <w:rsid w:val="003968E6"/>
    <w:rsid w:val="003A51FE"/>
    <w:rsid w:val="003B392D"/>
    <w:rsid w:val="003D0BDC"/>
    <w:rsid w:val="003D641C"/>
    <w:rsid w:val="003F5C42"/>
    <w:rsid w:val="0041491B"/>
    <w:rsid w:val="00432D27"/>
    <w:rsid w:val="00443DC9"/>
    <w:rsid w:val="00486D54"/>
    <w:rsid w:val="004E0144"/>
    <w:rsid w:val="004F62B3"/>
    <w:rsid w:val="00523C66"/>
    <w:rsid w:val="00536B0C"/>
    <w:rsid w:val="00544268"/>
    <w:rsid w:val="00583B7A"/>
    <w:rsid w:val="005C058F"/>
    <w:rsid w:val="005C0F6A"/>
    <w:rsid w:val="005D49CD"/>
    <w:rsid w:val="005E4613"/>
    <w:rsid w:val="005F23C2"/>
    <w:rsid w:val="005F6F41"/>
    <w:rsid w:val="00640405"/>
    <w:rsid w:val="00641085"/>
    <w:rsid w:val="006924E3"/>
    <w:rsid w:val="006B7052"/>
    <w:rsid w:val="006B793B"/>
    <w:rsid w:val="006B7B0F"/>
    <w:rsid w:val="006D3E24"/>
    <w:rsid w:val="006E019D"/>
    <w:rsid w:val="006E1B40"/>
    <w:rsid w:val="00741F38"/>
    <w:rsid w:val="00750EEA"/>
    <w:rsid w:val="0075457D"/>
    <w:rsid w:val="007563BA"/>
    <w:rsid w:val="00760FAB"/>
    <w:rsid w:val="007758C9"/>
    <w:rsid w:val="0078435D"/>
    <w:rsid w:val="007D7909"/>
    <w:rsid w:val="008115AB"/>
    <w:rsid w:val="00815978"/>
    <w:rsid w:val="00824D8E"/>
    <w:rsid w:val="00851899"/>
    <w:rsid w:val="00857862"/>
    <w:rsid w:val="008750F3"/>
    <w:rsid w:val="008A235F"/>
    <w:rsid w:val="008B455C"/>
    <w:rsid w:val="008B5465"/>
    <w:rsid w:val="008D57D9"/>
    <w:rsid w:val="008F089E"/>
    <w:rsid w:val="008F7C61"/>
    <w:rsid w:val="009063D7"/>
    <w:rsid w:val="0092027C"/>
    <w:rsid w:val="0092470D"/>
    <w:rsid w:val="00941621"/>
    <w:rsid w:val="009447CB"/>
    <w:rsid w:val="00956790"/>
    <w:rsid w:val="009707FF"/>
    <w:rsid w:val="00977F12"/>
    <w:rsid w:val="009A0015"/>
    <w:rsid w:val="009C7C9E"/>
    <w:rsid w:val="009E07A3"/>
    <w:rsid w:val="009E78B8"/>
    <w:rsid w:val="00A15216"/>
    <w:rsid w:val="00A23E82"/>
    <w:rsid w:val="00A26B0A"/>
    <w:rsid w:val="00A37FC3"/>
    <w:rsid w:val="00A406A1"/>
    <w:rsid w:val="00A51B4D"/>
    <w:rsid w:val="00A55D46"/>
    <w:rsid w:val="00A56458"/>
    <w:rsid w:val="00A65D91"/>
    <w:rsid w:val="00A763CD"/>
    <w:rsid w:val="00A76415"/>
    <w:rsid w:val="00A86C10"/>
    <w:rsid w:val="00A96909"/>
    <w:rsid w:val="00AA2207"/>
    <w:rsid w:val="00AA52B5"/>
    <w:rsid w:val="00AC26AF"/>
    <w:rsid w:val="00AC5502"/>
    <w:rsid w:val="00AC5A4B"/>
    <w:rsid w:val="00AE2F58"/>
    <w:rsid w:val="00AF0FCB"/>
    <w:rsid w:val="00B059E2"/>
    <w:rsid w:val="00B1121A"/>
    <w:rsid w:val="00B24FCC"/>
    <w:rsid w:val="00B30A90"/>
    <w:rsid w:val="00B33B40"/>
    <w:rsid w:val="00B86A03"/>
    <w:rsid w:val="00BC7FB2"/>
    <w:rsid w:val="00BD5FA7"/>
    <w:rsid w:val="00BF5B91"/>
    <w:rsid w:val="00C43F26"/>
    <w:rsid w:val="00C5215A"/>
    <w:rsid w:val="00C7295E"/>
    <w:rsid w:val="00CB6941"/>
    <w:rsid w:val="00CE1989"/>
    <w:rsid w:val="00CF545B"/>
    <w:rsid w:val="00D270F8"/>
    <w:rsid w:val="00D50BB7"/>
    <w:rsid w:val="00D66759"/>
    <w:rsid w:val="00D748CE"/>
    <w:rsid w:val="00D86A13"/>
    <w:rsid w:val="00DB43CD"/>
    <w:rsid w:val="00DD23F8"/>
    <w:rsid w:val="00DF238D"/>
    <w:rsid w:val="00E04764"/>
    <w:rsid w:val="00E17CC3"/>
    <w:rsid w:val="00E764E6"/>
    <w:rsid w:val="00E901A2"/>
    <w:rsid w:val="00E96DD8"/>
    <w:rsid w:val="00EA4763"/>
    <w:rsid w:val="00EB58E3"/>
    <w:rsid w:val="00EB6559"/>
    <w:rsid w:val="00F05A24"/>
    <w:rsid w:val="00F167DC"/>
    <w:rsid w:val="00F432CE"/>
    <w:rsid w:val="00F62CDE"/>
    <w:rsid w:val="00F734DD"/>
    <w:rsid w:val="00FD289C"/>
    <w:rsid w:val="00F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518A6"/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1518A6"/>
    <w:rPr>
      <w:color w:val="800080"/>
      <w:u w:val="single"/>
    </w:rPr>
  </w:style>
  <w:style w:type="paragraph" w:customStyle="1" w:styleId="western">
    <w:name w:val="western"/>
    <w:basedOn w:val="a"/>
    <w:rsid w:val="007758C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5C4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F5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F5C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2A7E-B10D-450C-967B-8AEA2C2A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2023-02-09T10:05:00Z</cp:lastPrinted>
  <dcterms:created xsi:type="dcterms:W3CDTF">2025-01-21T02:18:00Z</dcterms:created>
  <dcterms:modified xsi:type="dcterms:W3CDTF">2025-01-21T02:21:00Z</dcterms:modified>
</cp:coreProperties>
</file>