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973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0"/>
              <w:gridCol w:w="6859"/>
              <w:gridCol w:w="2140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0624D3" w:rsidRDefault="00CA7864" w:rsidP="00885351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3</w:t>
                  </w:r>
                  <w:r w:rsidR="00885351">
                    <w:rPr>
                      <w:b/>
                      <w:i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E258EC" w:rsidRDefault="00E258EC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1</w:t>
                  </w:r>
                  <w:r w:rsidR="00885351">
                    <w:rPr>
                      <w:i/>
                      <w:iCs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декабря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885351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среда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9D545B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885351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885351" w:rsidRPr="001A4D22" w:rsidRDefault="00885351" w:rsidP="00885351">
            <w:pPr>
              <w:ind w:firstLine="539"/>
              <w:rPr>
                <w:sz w:val="24"/>
                <w:szCs w:val="24"/>
              </w:rPr>
            </w:pPr>
            <w:r w:rsidRPr="001A4D22">
              <w:rPr>
                <w:b/>
                <w:bCs/>
              </w:rPr>
              <w:t xml:space="preserve">Льготы участникам СВО и членам их семей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885351" w:rsidRPr="00885351" w:rsidRDefault="00885351" w:rsidP="00885351">
            <w:pPr>
              <w:ind w:left="328"/>
              <w:rPr>
                <w:b/>
              </w:rPr>
            </w:pPr>
            <w:r>
              <w:rPr>
                <w:b/>
              </w:rPr>
              <w:t xml:space="preserve">   </w:t>
            </w:r>
            <w:r w:rsidRPr="00885351">
              <w:rPr>
                <w:b/>
              </w:rPr>
              <w:t>Деловая коррупция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885351" w:rsidRPr="001A4D22" w:rsidRDefault="00885351" w:rsidP="00885351">
      <w:pPr>
        <w:ind w:firstLine="539"/>
        <w:rPr>
          <w:sz w:val="24"/>
          <w:szCs w:val="24"/>
        </w:rPr>
      </w:pPr>
      <w:r w:rsidRPr="001A4D22">
        <w:rPr>
          <w:b/>
          <w:bCs/>
        </w:rPr>
        <w:lastRenderedPageBreak/>
        <w:t xml:space="preserve">Льготы участникам СВО и членам их семей </w:t>
      </w:r>
    </w:p>
    <w:p w:rsidR="00885351" w:rsidRPr="001A4D22" w:rsidRDefault="00885351" w:rsidP="00885351">
      <w:pPr>
        <w:ind w:firstLine="539"/>
        <w:rPr>
          <w:sz w:val="24"/>
          <w:szCs w:val="24"/>
        </w:rPr>
      </w:pPr>
      <w:r w:rsidRPr="001A4D22">
        <w:rPr>
          <w:b/>
          <w:bCs/>
        </w:rPr>
        <w:t>В сфере трудовых правоотношений: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 xml:space="preserve">- работодатель не может их уволить из-за призыва на военную службу по п. 1 ч. 1 ст. 83 ТК РФ. Трудовой договор с ними приостанавливается на весь период участия в СВО. За участниками СВО сохраняется рабочее место, а также все социально-трудовые гарантии, </w:t>
      </w:r>
      <w:proofErr w:type="gramStart"/>
      <w:r w:rsidRPr="001A4D22">
        <w:t>права</w:t>
      </w:r>
      <w:proofErr w:type="gramEnd"/>
      <w:r w:rsidRPr="001A4D22">
        <w:t xml:space="preserve"> на предоставление которых они получили до начала военной службы (ст. 351.7 ТК РФ).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После окончания военной службы работники вправе вернуться к своей работе в течение 3 месяцев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 xml:space="preserve">Кроме этого, страховой стаж мобилизованного в период участия в СВО исчисляется в двойном размере и учитывается при досрочном выходе на пенсию. Супругам участников СВО также </w:t>
      </w:r>
      <w:proofErr w:type="gramStart"/>
      <w:r w:rsidRPr="001A4D22">
        <w:t>гарантированы</w:t>
      </w:r>
      <w:proofErr w:type="gramEnd"/>
      <w:r w:rsidRPr="001A4D22">
        <w:t>: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- преимущественное право при сокращении отдается второму родителю, имеющему ребенка до 18 лет;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- направление в служебные командировки, привлечение к сверхурочной работе, работе в ночное время, выходные и нерабочие праздничные дни возможно только с письменного согласия второго родителя, имеющего ребенка до 14 лет;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- отпуск супруге предоставляется по желанию одновременно с отпуском супруга-военнослужащего;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- отпуск без сохранения зарплаты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rPr>
          <w:b/>
          <w:bCs/>
        </w:rPr>
        <w:t>2. В сфере кредитования</w:t>
      </w:r>
      <w:r w:rsidRPr="001A4D22">
        <w:t>:</w:t>
      </w:r>
    </w:p>
    <w:p w:rsidR="00885351" w:rsidRPr="001A4D22" w:rsidRDefault="00885351" w:rsidP="00885351">
      <w:pPr>
        <w:ind w:firstLine="540"/>
        <w:jc w:val="both"/>
        <w:rPr>
          <w:sz w:val="24"/>
          <w:szCs w:val="24"/>
        </w:rPr>
      </w:pPr>
      <w:r w:rsidRPr="001A4D22">
        <w:t xml:space="preserve">Все участники </w:t>
      </w:r>
      <w:proofErr w:type="gramStart"/>
      <w:r w:rsidRPr="001A4D22">
        <w:t>СВО</w:t>
      </w:r>
      <w:proofErr w:type="gramEnd"/>
      <w:r w:rsidRPr="001A4D22">
        <w:t xml:space="preserve"> а также члены их семей вправе воспользоваться кредитными каникулами по кредитным обязательствам, возникшим до дня мобилизации. Такое же право предоставлено мобилизованным ИП </w:t>
      </w:r>
      <w:proofErr w:type="gramStart"/>
      <w:r w:rsidRPr="001A4D22">
        <w:t>и ООО</w:t>
      </w:r>
      <w:proofErr w:type="gramEnd"/>
      <w:r w:rsidRPr="001A4D22">
        <w:t>, у которых мобилизованный - единственный участник и директор. Если они субъекты малого и среднего бизнеса.</w:t>
      </w:r>
    </w:p>
    <w:p w:rsidR="00885351" w:rsidRPr="001A4D22" w:rsidRDefault="00885351" w:rsidP="00885351">
      <w:pPr>
        <w:ind w:firstLine="540"/>
        <w:jc w:val="both"/>
        <w:rPr>
          <w:sz w:val="24"/>
          <w:szCs w:val="24"/>
        </w:rPr>
      </w:pPr>
      <w:r w:rsidRPr="001A4D22">
        <w:t>Каникулы мобилизованным, контрактникам и добровольцам предоставляются на весь период участия в СВО.</w:t>
      </w:r>
    </w:p>
    <w:p w:rsidR="00885351" w:rsidRPr="001A4D22" w:rsidRDefault="00885351" w:rsidP="00885351">
      <w:pPr>
        <w:numPr>
          <w:ilvl w:val="0"/>
          <w:numId w:val="44"/>
        </w:numPr>
        <w:ind w:left="935"/>
        <w:jc w:val="both"/>
        <w:rPr>
          <w:sz w:val="24"/>
          <w:szCs w:val="24"/>
        </w:rPr>
      </w:pPr>
      <w:r w:rsidRPr="001A4D22">
        <w:rPr>
          <w:b/>
          <w:bCs/>
        </w:rPr>
        <w:t>В сфере налогообложения</w:t>
      </w:r>
      <w:r w:rsidRPr="001A4D22">
        <w:t>: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Освобождены от НДФЛ и страховых взносов практически все выплаты мобилизованным, а также суточные работникам, направленным в командировку в ДНР, ЛНР, Херсонскую и Запорожскую области. Также не облагается налогом безвозмездная помощь в виде денег или иного имущества, полученных участником СВО или членом его семьи, если она связана со службой. Мобилизованным представляется налоговый вычет в размере 3 000 рублей.</w:t>
      </w:r>
    </w:p>
    <w:p w:rsidR="00885351" w:rsidRPr="001A4D22" w:rsidRDefault="00885351" w:rsidP="00885351">
      <w:pPr>
        <w:numPr>
          <w:ilvl w:val="0"/>
          <w:numId w:val="45"/>
        </w:numPr>
        <w:ind w:left="935"/>
        <w:jc w:val="both"/>
        <w:rPr>
          <w:sz w:val="24"/>
          <w:szCs w:val="24"/>
        </w:rPr>
      </w:pPr>
      <w:r w:rsidRPr="001A4D22">
        <w:rPr>
          <w:b/>
          <w:bCs/>
        </w:rPr>
        <w:t>В сфере образования</w:t>
      </w:r>
      <w:r w:rsidRPr="001A4D22">
        <w:t>: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 xml:space="preserve">Все участники СВО (и их дети) могут поступить на бюджетные места по программам </w:t>
      </w:r>
      <w:proofErr w:type="spellStart"/>
      <w:r w:rsidRPr="001A4D22">
        <w:t>бакалавриата</w:t>
      </w:r>
      <w:proofErr w:type="spellEnd"/>
      <w:r w:rsidRPr="001A4D22">
        <w:t xml:space="preserve"> и </w:t>
      </w:r>
      <w:proofErr w:type="spellStart"/>
      <w:r w:rsidRPr="001A4D22">
        <w:t>специалитета</w:t>
      </w:r>
      <w:proofErr w:type="spellEnd"/>
      <w:r w:rsidRPr="001A4D22">
        <w:t xml:space="preserve"> в рамках отдельной квоты. 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Также участники СВО, уволенные с военной службы, могут пройти бесплатное обучение или получить дополнительное профессиональное образование по наиболее востребованным специальностям.</w:t>
      </w:r>
    </w:p>
    <w:p w:rsidR="00885351" w:rsidRPr="001A4D22" w:rsidRDefault="00885351" w:rsidP="00885351">
      <w:pPr>
        <w:numPr>
          <w:ilvl w:val="0"/>
          <w:numId w:val="46"/>
        </w:numPr>
        <w:ind w:left="935"/>
        <w:jc w:val="both"/>
        <w:rPr>
          <w:sz w:val="24"/>
          <w:szCs w:val="24"/>
        </w:rPr>
      </w:pPr>
      <w:r w:rsidRPr="001A4D22">
        <w:rPr>
          <w:b/>
          <w:bCs/>
        </w:rPr>
        <w:t> В сфере ЖКХ</w:t>
      </w:r>
      <w:r w:rsidRPr="001A4D22">
        <w:t>: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lastRenderedPageBreak/>
        <w:t xml:space="preserve">Все участники СВО и проживающие совместно с ними члены семьи освобождены от начисления пеней за просрочку оплаты коммунальных услуг и взносов на капитальный ремонт на период участия в СВО. Причем </w:t>
      </w:r>
      <w:proofErr w:type="spellStart"/>
      <w:r w:rsidRPr="001A4D22">
        <w:t>ресурсоснабжающие</w:t>
      </w:r>
      <w:proofErr w:type="spellEnd"/>
      <w:r w:rsidRPr="001A4D22">
        <w:t xml:space="preserve"> организации не вправе приостановить или прекратить предоставление коммунальных услуг при наличии задолженности.</w:t>
      </w:r>
    </w:p>
    <w:p w:rsidR="00885351" w:rsidRPr="001A4D22" w:rsidRDefault="00885351" w:rsidP="00885351">
      <w:pPr>
        <w:numPr>
          <w:ilvl w:val="0"/>
          <w:numId w:val="47"/>
        </w:numPr>
        <w:ind w:left="935"/>
        <w:jc w:val="both"/>
        <w:rPr>
          <w:sz w:val="24"/>
          <w:szCs w:val="24"/>
        </w:rPr>
      </w:pPr>
      <w:r w:rsidRPr="001A4D22">
        <w:rPr>
          <w:b/>
          <w:bCs/>
        </w:rPr>
        <w:t xml:space="preserve">В сфере судопроизводства:  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Все судебные споры с участием мобилизованных, контрактников и добровольцев приостанавливаются на период участия в СВО. Соответствующие изменения внесены в АПК РФ, ГПК РФ, КАС РФ.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>Также приостанавливаются все исполнительные производства в отношении всех участников СВО. Исключение - требования по взысканию алиментов и возмещению вреда в связи со смертью кормильца. Кроме того, выплаты военнослужащим не подлежат аресту.</w:t>
      </w:r>
    </w:p>
    <w:p w:rsidR="00885351" w:rsidRPr="001A4D22" w:rsidRDefault="00885351" w:rsidP="00885351">
      <w:pPr>
        <w:ind w:firstLine="539"/>
        <w:jc w:val="both"/>
        <w:rPr>
          <w:sz w:val="24"/>
          <w:szCs w:val="24"/>
        </w:rPr>
      </w:pPr>
      <w:r w:rsidRPr="001A4D22">
        <w:t xml:space="preserve">Кроме того, участникам СВО предоставляются единовременные (400 тыс. руб.) и периодические выплаты, а членам семей участников СВО - ежемесячное пособие на ребенка, единовременное пособие беременной жене мобилизованного, и т.д. </w:t>
      </w:r>
    </w:p>
    <w:p w:rsidR="00885351" w:rsidRPr="00D233AF" w:rsidRDefault="00885351" w:rsidP="0088535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85351" w:rsidRPr="001E6B91" w:rsidRDefault="00885351" w:rsidP="00885351">
      <w:pPr>
        <w:pStyle w:val="af5"/>
        <w:spacing w:line="240" w:lineRule="exact"/>
        <w:ind w:right="23"/>
        <w:rPr>
          <w:szCs w:val="28"/>
        </w:rPr>
      </w:pPr>
    </w:p>
    <w:p w:rsidR="00885351" w:rsidRDefault="00885351" w:rsidP="00885351">
      <w:pPr>
        <w:spacing w:line="240" w:lineRule="exact"/>
        <w:jc w:val="both"/>
      </w:pPr>
      <w:r>
        <w:t>П</w:t>
      </w:r>
      <w:r w:rsidRPr="001E6B91">
        <w:t xml:space="preserve">рокурор </w:t>
      </w:r>
      <w:r>
        <w:t xml:space="preserve">Чистоозерного </w:t>
      </w:r>
      <w:r w:rsidRPr="001E6B91">
        <w:t xml:space="preserve">района </w:t>
      </w: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  <w:r>
        <w:t xml:space="preserve">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И.А. </w:t>
      </w:r>
      <w:proofErr w:type="spellStart"/>
      <w:r>
        <w:t>Рехлинг</w:t>
      </w:r>
      <w:proofErr w:type="spellEnd"/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Pr="00885351" w:rsidRDefault="00885351" w:rsidP="00885351">
      <w:pPr>
        <w:jc w:val="center"/>
        <w:rPr>
          <w:b/>
        </w:rPr>
      </w:pPr>
      <w:r w:rsidRPr="00885351">
        <w:rPr>
          <w:b/>
        </w:rPr>
        <w:t>Деловая коррупция</w:t>
      </w:r>
    </w:p>
    <w:p w:rsidR="00885351" w:rsidRPr="00A051B5" w:rsidRDefault="00885351" w:rsidP="00885351">
      <w:pPr>
        <w:ind w:firstLine="709"/>
        <w:jc w:val="both"/>
      </w:pPr>
      <w:r w:rsidRPr="00A051B5">
        <w:t>Деловая коррупция возникает при взаимодействии бизнеса и власти. Деловая коррупция – плата предпринимателями денежных средств или материальных ценностей государственным или муниципальным служащим по делам своей фирмы.</w:t>
      </w:r>
    </w:p>
    <w:p w:rsidR="00885351" w:rsidRDefault="00885351" w:rsidP="00885351">
      <w:pPr>
        <w:ind w:firstLine="709"/>
        <w:jc w:val="both"/>
      </w:pPr>
      <w:r w:rsidRPr="00A051B5">
        <w:t xml:space="preserve">Формы коррупционных проявлений следующие. </w:t>
      </w:r>
    </w:p>
    <w:p w:rsidR="00885351" w:rsidRDefault="00885351" w:rsidP="00885351">
      <w:pPr>
        <w:ind w:firstLine="709"/>
        <w:jc w:val="both"/>
      </w:pPr>
      <w:r w:rsidRPr="00A051B5">
        <w:t>В системе государственной</w:t>
      </w:r>
      <w:r>
        <w:t xml:space="preserve"> (муниципальной)</w:t>
      </w:r>
      <w:r w:rsidRPr="00A051B5">
        <w:t xml:space="preserve"> службы сюда относят различные виды нарушений конституционных, административных, уголовных и иных норм права лицами, осуществляющими функции государственного управления во всех сферах деятельности. </w:t>
      </w:r>
    </w:p>
    <w:p w:rsidR="00885351" w:rsidRDefault="00885351" w:rsidP="00885351">
      <w:pPr>
        <w:ind w:firstLine="709"/>
        <w:jc w:val="both"/>
      </w:pPr>
      <w:r w:rsidRPr="00A051B5">
        <w:t xml:space="preserve">Среди данных нарушений можно выделить: 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многие виды прямого или скрытого совмещения должностей на государственной гражданской</w:t>
      </w:r>
      <w:r>
        <w:t xml:space="preserve"> (муниципальной)</w:t>
      </w:r>
      <w:r w:rsidRPr="00A051B5">
        <w:t xml:space="preserve"> службе и в негосударственных коммерческих организациях; 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оказание государственными</w:t>
      </w:r>
      <w:r>
        <w:t xml:space="preserve"> (муниципальными)</w:t>
      </w:r>
      <w:r w:rsidRPr="00A051B5">
        <w:t xml:space="preserve"> служащими прямых или косвенных услуг негосударственным коммерческим организациям за прямое или завуалированное вознаграждение, представление тех или иных льгот, выгод и преференций, в которых эти организации заинтересованы. Сюда можно отнести различные виды прикрытия бизнеса; 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использование государственными</w:t>
      </w:r>
      <w:r>
        <w:t xml:space="preserve"> (муниципальными)</w:t>
      </w:r>
      <w:r w:rsidRPr="00A051B5">
        <w:t xml:space="preserve"> служащими личного либо ведомственного влияния и неформальных связей для оказания услуг негосударственным коммерческим организациям за вознаграждение. В этом плане характерным является использование для выяснения отношений между коммерческими организациями силовых структур; </w:t>
      </w:r>
      <w:r>
        <w:t xml:space="preserve"> </w:t>
      </w:r>
    </w:p>
    <w:p w:rsidR="00885351" w:rsidRDefault="00885351" w:rsidP="00885351">
      <w:pPr>
        <w:ind w:firstLine="709"/>
        <w:jc w:val="both"/>
      </w:pPr>
      <w:r w:rsidRPr="00A051B5">
        <w:lastRenderedPageBreak/>
        <w:sym w:font="Symbol" w:char="F02D"/>
      </w:r>
      <w:r w:rsidRPr="00A051B5">
        <w:t xml:space="preserve"> учреждение коммерческих структур с использованием имущества государственных</w:t>
      </w:r>
      <w:r>
        <w:t xml:space="preserve"> (муниципальных)</w:t>
      </w:r>
      <w:r w:rsidRPr="00A051B5">
        <w:t xml:space="preserve"> предприятий, на которых работает должностное лицо, использование должностного положения в процессе приватизации государственной и муниципальной собственности; </w:t>
      </w:r>
    </w:p>
    <w:p w:rsidR="00885351" w:rsidRPr="00A051B5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неправомерная передача коммерческим организациям финансов и кредитов, предназначенных на государственные</w:t>
      </w:r>
      <w:r>
        <w:t xml:space="preserve"> (муниципальные)</w:t>
      </w:r>
      <w:r w:rsidRPr="00A051B5">
        <w:t xml:space="preserve"> нужды;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лоббирование прохождения, принятия контрактов, программ, других документов, позволяющих получить преимущества определенным лицам. Особенно это проваляется при проведении конкурсов; 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протекционизм малоспособных работников; </w:t>
      </w:r>
    </w:p>
    <w:p w:rsidR="00885351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установление платы за услуги, предоставление которых входит в круг служебных обязанностей чиновника; </w:t>
      </w:r>
    </w:p>
    <w:p w:rsidR="00885351" w:rsidRPr="00BB41CF" w:rsidRDefault="00885351" w:rsidP="00885351">
      <w:pPr>
        <w:ind w:firstLine="709"/>
        <w:jc w:val="both"/>
      </w:pPr>
      <w:r w:rsidRPr="00A051B5">
        <w:sym w:font="Symbol" w:char="F02D"/>
      </w:r>
      <w:r w:rsidRPr="00A051B5">
        <w:t xml:space="preserve"> подтасовка результатов конкурса и размещение государственных</w:t>
      </w:r>
      <w:r>
        <w:t xml:space="preserve"> (</w:t>
      </w:r>
      <w:r w:rsidRPr="00BB41CF">
        <w:t xml:space="preserve">муниципальных) заказов на определенной, «своей» фирме. </w:t>
      </w:r>
    </w:p>
    <w:p w:rsidR="00885351" w:rsidRDefault="00885351" w:rsidP="00885351">
      <w:pPr>
        <w:ind w:firstLine="709"/>
        <w:jc w:val="both"/>
      </w:pPr>
      <w:r w:rsidRPr="00BB41CF">
        <w:t xml:space="preserve">Совершенствование мер по противодействию коррупции в сфере бизнеса, в том числе внедрение в деятельность российских </w:t>
      </w:r>
      <w:r>
        <w:t>к</w:t>
      </w:r>
      <w:r w:rsidRPr="00BB41CF">
        <w:t xml:space="preserve">омпаний высочайших </w:t>
      </w:r>
      <w:proofErr w:type="spellStart"/>
      <w:r w:rsidRPr="00BB41CF">
        <w:t>антикоррупционных</w:t>
      </w:r>
      <w:proofErr w:type="spellEnd"/>
      <w:r w:rsidRPr="00BB41CF">
        <w:t xml:space="preserve"> стандартов, является ключевым направлением преодоления проблемы коррупции в экономической сфере и одной из важнейших задач, стоящих </w:t>
      </w:r>
      <w:proofErr w:type="gramStart"/>
      <w:r w:rsidRPr="00BB41CF">
        <w:t>перед</w:t>
      </w:r>
      <w:proofErr w:type="gramEnd"/>
      <w:r w:rsidRPr="00BB41CF">
        <w:t xml:space="preserve"> российским </w:t>
      </w:r>
      <w:proofErr w:type="spellStart"/>
      <w:r w:rsidRPr="00BB41CF">
        <w:t>бизнес-сообществом</w:t>
      </w:r>
      <w:proofErr w:type="spellEnd"/>
      <w:r w:rsidRPr="00BB41CF">
        <w:t xml:space="preserve">. </w:t>
      </w:r>
    </w:p>
    <w:p w:rsidR="00885351" w:rsidRPr="00BB41CF" w:rsidRDefault="00885351" w:rsidP="00885351">
      <w:pPr>
        <w:jc w:val="both"/>
      </w:pPr>
      <w:r>
        <w:t xml:space="preserve">Прокурор Чистоозерного района                                                   </w:t>
      </w:r>
      <w:bookmarkStart w:id="0" w:name="_GoBack"/>
      <w:bookmarkEnd w:id="0"/>
      <w:r>
        <w:t xml:space="preserve"> И.А. </w:t>
      </w:r>
      <w:proofErr w:type="spellStart"/>
      <w:r>
        <w:t>Рехлинг</w:t>
      </w:r>
      <w:proofErr w:type="spellEnd"/>
      <w:r w:rsidRPr="00BB41CF">
        <w:t xml:space="preserve"> </w:t>
      </w:r>
    </w:p>
    <w:p w:rsidR="00885351" w:rsidRPr="00A051B5" w:rsidRDefault="00885351" w:rsidP="00885351">
      <w:pPr>
        <w:ind w:firstLine="709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</w:p>
    <w:p w:rsidR="00885351" w:rsidRDefault="00885351" w:rsidP="00885351">
      <w:pPr>
        <w:spacing w:line="240" w:lineRule="exact"/>
        <w:jc w:val="both"/>
      </w:pPr>
      <w:r>
        <w:t xml:space="preserve">И.А. </w:t>
      </w:r>
      <w:proofErr w:type="spellStart"/>
      <w:r>
        <w:t>Рехлинг</w:t>
      </w:r>
      <w:proofErr w:type="spellEnd"/>
      <w:r>
        <w:t xml:space="preserve">, тел. 8-(383-68)-91-767 </w:t>
      </w:r>
    </w:p>
    <w:p w:rsidR="00885351" w:rsidRPr="009C1009" w:rsidRDefault="00885351" w:rsidP="00CF5D38">
      <w:pPr>
        <w:jc w:val="center"/>
        <w:rPr>
          <w:b/>
          <w:bCs/>
          <w:spacing w:val="-1"/>
          <w:highlight w:val="yellow"/>
        </w:rPr>
      </w:pPr>
    </w:p>
    <w:sectPr w:rsidR="00885351" w:rsidRPr="009C1009" w:rsidSect="000245C5">
      <w:pgSz w:w="11907" w:h="16840" w:code="9"/>
      <w:pgMar w:top="1134" w:right="567" w:bottom="567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F4" w:rsidRDefault="00A06AF4" w:rsidP="007E1234">
      <w:r>
        <w:separator/>
      </w:r>
    </w:p>
  </w:endnote>
  <w:endnote w:type="continuationSeparator" w:id="0">
    <w:p w:rsidR="00A06AF4" w:rsidRDefault="00A06AF4" w:rsidP="007E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F4" w:rsidRDefault="00A06AF4" w:rsidP="007E1234">
      <w:r>
        <w:separator/>
      </w:r>
    </w:p>
  </w:footnote>
  <w:footnote w:type="continuationSeparator" w:id="0">
    <w:p w:rsidR="00A06AF4" w:rsidRDefault="00A06AF4" w:rsidP="007E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971C08"/>
    <w:multiLevelType w:val="multilevel"/>
    <w:tmpl w:val="884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C93682"/>
    <w:multiLevelType w:val="multilevel"/>
    <w:tmpl w:val="B758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A3C5D1C"/>
    <w:multiLevelType w:val="multilevel"/>
    <w:tmpl w:val="82DA6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F2CFA"/>
    <w:multiLevelType w:val="multilevel"/>
    <w:tmpl w:val="72EE8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240F0"/>
    <w:multiLevelType w:val="multilevel"/>
    <w:tmpl w:val="FB58E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3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47F33"/>
    <w:multiLevelType w:val="hybridMultilevel"/>
    <w:tmpl w:val="AF307456"/>
    <w:lvl w:ilvl="0" w:tplc="BF548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>
    <w:nsid w:val="509123B1"/>
    <w:multiLevelType w:val="hybridMultilevel"/>
    <w:tmpl w:val="21FE7C52"/>
    <w:lvl w:ilvl="0" w:tplc="C87CDF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41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44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3"/>
  </w:num>
  <w:num w:numId="4">
    <w:abstractNumId w:val="15"/>
  </w:num>
  <w:num w:numId="5">
    <w:abstractNumId w:val="26"/>
  </w:num>
  <w:num w:numId="6">
    <w:abstractNumId w:val="11"/>
  </w:num>
  <w:num w:numId="7">
    <w:abstractNumId w:val="34"/>
  </w:num>
  <w:num w:numId="8">
    <w:abstractNumId w:val="4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5"/>
  </w:num>
  <w:num w:numId="12">
    <w:abstractNumId w:val="14"/>
  </w:num>
  <w:num w:numId="13">
    <w:abstractNumId w:val="30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39"/>
  </w:num>
  <w:num w:numId="19">
    <w:abstractNumId w:val="0"/>
  </w:num>
  <w:num w:numId="20">
    <w:abstractNumId w:val="6"/>
  </w:num>
  <w:num w:numId="21">
    <w:abstractNumId w:val="10"/>
  </w:num>
  <w:num w:numId="22">
    <w:abstractNumId w:val="22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7"/>
  </w:num>
  <w:num w:numId="28">
    <w:abstractNumId w:val="23"/>
  </w:num>
  <w:num w:numId="29">
    <w:abstractNumId w:val="38"/>
  </w:num>
  <w:num w:numId="30">
    <w:abstractNumId w:val="41"/>
  </w:num>
  <w:num w:numId="31">
    <w:abstractNumId w:val="1"/>
  </w:num>
  <w:num w:numId="32">
    <w:abstractNumId w:val="44"/>
  </w:num>
  <w:num w:numId="33">
    <w:abstractNumId w:val="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4"/>
  </w:num>
  <w:num w:numId="37">
    <w:abstractNumId w:val="16"/>
  </w:num>
  <w:num w:numId="38">
    <w:abstractNumId w:val="28"/>
  </w:num>
  <w:num w:numId="39">
    <w:abstractNumId w:val="33"/>
  </w:num>
  <w:num w:numId="40">
    <w:abstractNumId w:val="8"/>
  </w:num>
  <w:num w:numId="41">
    <w:abstractNumId w:val="29"/>
  </w:num>
  <w:num w:numId="42">
    <w:abstractNumId w:val="9"/>
  </w:num>
  <w:num w:numId="43">
    <w:abstractNumId w:val="25"/>
  </w:num>
  <w:num w:numId="44">
    <w:abstractNumId w:val="13"/>
  </w:num>
  <w:num w:numId="45">
    <w:abstractNumId w:val="18"/>
  </w:num>
  <w:num w:numId="46">
    <w:abstractNumId w:val="19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F68"/>
    <w:rsid w:val="00000E69"/>
    <w:rsid w:val="000066CA"/>
    <w:rsid w:val="000245C5"/>
    <w:rsid w:val="00033FFD"/>
    <w:rsid w:val="00034F68"/>
    <w:rsid w:val="00043A2D"/>
    <w:rsid w:val="000441FA"/>
    <w:rsid w:val="0005487A"/>
    <w:rsid w:val="000624D3"/>
    <w:rsid w:val="000712C0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125BB9"/>
    <w:rsid w:val="001312C7"/>
    <w:rsid w:val="00135839"/>
    <w:rsid w:val="00162A4A"/>
    <w:rsid w:val="001671A3"/>
    <w:rsid w:val="001916D4"/>
    <w:rsid w:val="00194902"/>
    <w:rsid w:val="001A6CD0"/>
    <w:rsid w:val="001B016F"/>
    <w:rsid w:val="001B44BB"/>
    <w:rsid w:val="001B4602"/>
    <w:rsid w:val="001C0252"/>
    <w:rsid w:val="001F7E2E"/>
    <w:rsid w:val="00206499"/>
    <w:rsid w:val="00223F6E"/>
    <w:rsid w:val="00246CB8"/>
    <w:rsid w:val="002666AF"/>
    <w:rsid w:val="00275ABE"/>
    <w:rsid w:val="00284520"/>
    <w:rsid w:val="00287C78"/>
    <w:rsid w:val="002A05D4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1CE3"/>
    <w:rsid w:val="00366303"/>
    <w:rsid w:val="00367057"/>
    <w:rsid w:val="0037218A"/>
    <w:rsid w:val="003744C4"/>
    <w:rsid w:val="0038165A"/>
    <w:rsid w:val="00382B7F"/>
    <w:rsid w:val="00385875"/>
    <w:rsid w:val="00397145"/>
    <w:rsid w:val="003C0FDE"/>
    <w:rsid w:val="003D0BDC"/>
    <w:rsid w:val="003D5C5C"/>
    <w:rsid w:val="003D641C"/>
    <w:rsid w:val="00402A7C"/>
    <w:rsid w:val="0041491B"/>
    <w:rsid w:val="004526B1"/>
    <w:rsid w:val="004717F2"/>
    <w:rsid w:val="00471FE5"/>
    <w:rsid w:val="004808F1"/>
    <w:rsid w:val="00482240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6158B1"/>
    <w:rsid w:val="006313FF"/>
    <w:rsid w:val="006322C5"/>
    <w:rsid w:val="00641085"/>
    <w:rsid w:val="006537CE"/>
    <w:rsid w:val="00666C01"/>
    <w:rsid w:val="00686426"/>
    <w:rsid w:val="006B7052"/>
    <w:rsid w:val="006C62D4"/>
    <w:rsid w:val="006C79B3"/>
    <w:rsid w:val="006E1B40"/>
    <w:rsid w:val="006F2006"/>
    <w:rsid w:val="007063A4"/>
    <w:rsid w:val="0071641C"/>
    <w:rsid w:val="0072491B"/>
    <w:rsid w:val="00755D37"/>
    <w:rsid w:val="0078435D"/>
    <w:rsid w:val="00793EFD"/>
    <w:rsid w:val="00796D00"/>
    <w:rsid w:val="0079781A"/>
    <w:rsid w:val="007A7E80"/>
    <w:rsid w:val="007B033D"/>
    <w:rsid w:val="007C1A9E"/>
    <w:rsid w:val="007E1234"/>
    <w:rsid w:val="007F7D62"/>
    <w:rsid w:val="00802B44"/>
    <w:rsid w:val="008115AB"/>
    <w:rsid w:val="00815978"/>
    <w:rsid w:val="00825DA1"/>
    <w:rsid w:val="008263BE"/>
    <w:rsid w:val="008346A0"/>
    <w:rsid w:val="00855696"/>
    <w:rsid w:val="00874D29"/>
    <w:rsid w:val="00885351"/>
    <w:rsid w:val="008A235F"/>
    <w:rsid w:val="008B1BC9"/>
    <w:rsid w:val="008B63FA"/>
    <w:rsid w:val="008D1999"/>
    <w:rsid w:val="008D57D9"/>
    <w:rsid w:val="008F324A"/>
    <w:rsid w:val="00912C7C"/>
    <w:rsid w:val="00935B28"/>
    <w:rsid w:val="009647C2"/>
    <w:rsid w:val="009A0015"/>
    <w:rsid w:val="009B7B9F"/>
    <w:rsid w:val="009C1009"/>
    <w:rsid w:val="009C7BF5"/>
    <w:rsid w:val="009D06B6"/>
    <w:rsid w:val="009D545B"/>
    <w:rsid w:val="009D57E4"/>
    <w:rsid w:val="009E07A3"/>
    <w:rsid w:val="009E77BB"/>
    <w:rsid w:val="009F2264"/>
    <w:rsid w:val="009F5A56"/>
    <w:rsid w:val="009F60D0"/>
    <w:rsid w:val="00A06AF4"/>
    <w:rsid w:val="00A23E82"/>
    <w:rsid w:val="00A26B0A"/>
    <w:rsid w:val="00A30EFB"/>
    <w:rsid w:val="00A50030"/>
    <w:rsid w:val="00A56D0B"/>
    <w:rsid w:val="00A65D91"/>
    <w:rsid w:val="00A763CD"/>
    <w:rsid w:val="00A96909"/>
    <w:rsid w:val="00AA185F"/>
    <w:rsid w:val="00AA2207"/>
    <w:rsid w:val="00AA5F8C"/>
    <w:rsid w:val="00AC26AF"/>
    <w:rsid w:val="00AC5502"/>
    <w:rsid w:val="00AC641F"/>
    <w:rsid w:val="00AD7945"/>
    <w:rsid w:val="00AE2F58"/>
    <w:rsid w:val="00AE37E6"/>
    <w:rsid w:val="00AF0FCB"/>
    <w:rsid w:val="00B0271B"/>
    <w:rsid w:val="00B05D60"/>
    <w:rsid w:val="00B103B5"/>
    <w:rsid w:val="00B1121A"/>
    <w:rsid w:val="00B26FE9"/>
    <w:rsid w:val="00B67517"/>
    <w:rsid w:val="00BC7FB2"/>
    <w:rsid w:val="00BD0294"/>
    <w:rsid w:val="00BD5FA7"/>
    <w:rsid w:val="00BE1E33"/>
    <w:rsid w:val="00BF4182"/>
    <w:rsid w:val="00BF5B91"/>
    <w:rsid w:val="00C12487"/>
    <w:rsid w:val="00C33B4D"/>
    <w:rsid w:val="00C352EC"/>
    <w:rsid w:val="00C40862"/>
    <w:rsid w:val="00C4477C"/>
    <w:rsid w:val="00C5215A"/>
    <w:rsid w:val="00C75343"/>
    <w:rsid w:val="00CA7864"/>
    <w:rsid w:val="00CB7211"/>
    <w:rsid w:val="00CF5D38"/>
    <w:rsid w:val="00D058D8"/>
    <w:rsid w:val="00D1198C"/>
    <w:rsid w:val="00D11D49"/>
    <w:rsid w:val="00D216F6"/>
    <w:rsid w:val="00D270F8"/>
    <w:rsid w:val="00D43113"/>
    <w:rsid w:val="00D5232B"/>
    <w:rsid w:val="00D73B4F"/>
    <w:rsid w:val="00D748CE"/>
    <w:rsid w:val="00D82CCD"/>
    <w:rsid w:val="00D92C19"/>
    <w:rsid w:val="00DA7C70"/>
    <w:rsid w:val="00DB097D"/>
    <w:rsid w:val="00DC68B8"/>
    <w:rsid w:val="00DD0783"/>
    <w:rsid w:val="00DD1B7E"/>
    <w:rsid w:val="00DD4C98"/>
    <w:rsid w:val="00DE659A"/>
    <w:rsid w:val="00E15F0B"/>
    <w:rsid w:val="00E258EC"/>
    <w:rsid w:val="00E26C09"/>
    <w:rsid w:val="00E70502"/>
    <w:rsid w:val="00E74CBA"/>
    <w:rsid w:val="00E764E6"/>
    <w:rsid w:val="00E77CCD"/>
    <w:rsid w:val="00E77E8E"/>
    <w:rsid w:val="00EB61D4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C68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115AB"/>
    <w:rPr>
      <w:i/>
      <w:iCs/>
    </w:rPr>
  </w:style>
  <w:style w:type="paragraph" w:styleId="aa">
    <w:name w:val="Body Text Indent"/>
    <w:basedOn w:val="a"/>
    <w:link w:val="ab"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character" w:customStyle="1" w:styleId="80">
    <w:name w:val="Заголовок 8 Знак"/>
    <w:basedOn w:val="a0"/>
    <w:link w:val="8"/>
    <w:rsid w:val="00DC68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DC68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C6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aliases w:val="ВерхКолонтитул"/>
    <w:basedOn w:val="a"/>
    <w:link w:val="af1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footer"/>
    <w:basedOn w:val="a"/>
    <w:link w:val="af3"/>
    <w:uiPriority w:val="99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DC68B8"/>
    <w:pPr>
      <w:ind w:firstLine="708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DC68B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C68B8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для проектов"/>
    <w:basedOn w:val="a"/>
    <w:semiHidden/>
    <w:rsid w:val="00DC68B8"/>
    <w:pPr>
      <w:spacing w:line="360" w:lineRule="auto"/>
      <w:ind w:firstLine="709"/>
      <w:jc w:val="both"/>
    </w:pPr>
    <w:rPr>
      <w:szCs w:val="20"/>
    </w:rPr>
  </w:style>
  <w:style w:type="paragraph" w:styleId="af5">
    <w:name w:val="Body Text"/>
    <w:aliases w:val=" Знак, Знак1 Знак,Основной текст1"/>
    <w:basedOn w:val="a"/>
    <w:link w:val="af6"/>
    <w:rsid w:val="00DC68B8"/>
    <w:pPr>
      <w:jc w:val="both"/>
    </w:pPr>
    <w:rPr>
      <w:szCs w:val="20"/>
    </w:rPr>
  </w:style>
  <w:style w:type="character" w:customStyle="1" w:styleId="af6">
    <w:name w:val="Основной текст Знак"/>
    <w:aliases w:val=" Знак Знак, Знак1 Знак Знак,Основной текст1 Знак"/>
    <w:basedOn w:val="a0"/>
    <w:link w:val="af5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DC68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rsid w:val="00DC68B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DC68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3"/>
    <w:rsid w:val="00DC68B8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DC68B8"/>
  </w:style>
  <w:style w:type="paragraph" w:styleId="33">
    <w:name w:val="toc 3"/>
    <w:basedOn w:val="a"/>
    <w:next w:val="a"/>
    <w:autoRedefine/>
    <w:semiHidden/>
    <w:rsid w:val="00DC68B8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3"/>
    <w:next w:val="13"/>
    <w:rsid w:val="00DC68B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DC68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C68B8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ОТСТУП"/>
    <w:basedOn w:val="a"/>
    <w:rsid w:val="00DC68B8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9">
    <w:name w:val="Block Text"/>
    <w:basedOn w:val="a"/>
    <w:rsid w:val="00DC68B8"/>
    <w:pPr>
      <w:ind w:left="112" w:right="111"/>
      <w:jc w:val="both"/>
    </w:pPr>
    <w:rPr>
      <w:b/>
      <w:sz w:val="32"/>
      <w:szCs w:val="24"/>
    </w:rPr>
  </w:style>
  <w:style w:type="character" w:customStyle="1" w:styleId="ConsPlusNormal0">
    <w:name w:val="ConsPlusNormal Знак"/>
    <w:link w:val="ConsPlusNormal"/>
    <w:locked/>
    <w:rsid w:val="002A05D4"/>
    <w:rPr>
      <w:rFonts w:ascii="Calibri" w:eastAsia="Times New Roman" w:hAnsi="Calibri" w:cs="Calibri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2A05D4"/>
    <w:rPr>
      <w:color w:val="800080"/>
      <w:u w:val="single"/>
    </w:rPr>
  </w:style>
  <w:style w:type="paragraph" w:customStyle="1" w:styleId="xl64">
    <w:name w:val="xl64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2A05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A05D4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05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A05D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A05D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8E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2024-12-18T03:22:00Z</dcterms:created>
  <dcterms:modified xsi:type="dcterms:W3CDTF">2024-12-18T03:24:00Z</dcterms:modified>
</cp:coreProperties>
</file>